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CC4E4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CC4E4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CC4E4E">
              <w:rPr>
                <w:sz w:val="28"/>
              </w:rPr>
              <w:t>Statement of Significance</w:t>
            </w:r>
          </w:p>
          <w:p w14:paraId="3CD45CCE" w14:textId="6033FEFB" w:rsidR="0029519F" w:rsidRPr="00CC4E4E" w:rsidRDefault="00755FD5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755FD5">
              <w:rPr>
                <w:sz w:val="28"/>
              </w:rPr>
              <w:t>Roslyn, 131 Moreland Road, Coburg</w:t>
            </w:r>
            <w:r w:rsidR="0029519F" w:rsidRPr="00CC4E4E">
              <w:rPr>
                <w:sz w:val="28"/>
              </w:rPr>
              <w:t xml:space="preserve"> 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DC76D6E" w:rsidR="0029519F" w:rsidRDefault="00755FD5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r>
              <w:t>Roslyn, 131 Moreland Road, Coburg</w:t>
            </w:r>
            <w:bookmarkEnd w:id="0"/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16BACE45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HO574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096F8D50" w:rsidR="00844C62" w:rsidRPr="00456F23" w:rsidRDefault="00755FD5" w:rsidP="00B30D4A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</w:rPr>
              <w:drawing>
                <wp:inline distT="0" distB="0" distL="0" distR="0" wp14:anchorId="178CDDA1" wp14:editId="6D5F2A05">
                  <wp:extent cx="3779520" cy="231035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307"/>
                          <a:stretch/>
                        </pic:blipFill>
                        <pic:spPr bwMode="auto">
                          <a:xfrm>
                            <a:off x="0" y="0"/>
                            <a:ext cx="3780000" cy="2310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1642DB27" w:rsidR="00456F23" w:rsidRPr="00456F23" w:rsidRDefault="00755FD5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1DDE1A59" wp14:editId="6CA57E21">
                  <wp:extent cx="5594400" cy="3960000"/>
                  <wp:effectExtent l="0" t="0" r="635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400" cy="39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483CD07A" w14:textId="77777777" w:rsidR="00755FD5" w:rsidRDefault="00755FD5" w:rsidP="00755FD5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6016B8AD" w14:textId="77777777" w:rsidR="00755FD5" w:rsidRPr="00D23116" w:rsidRDefault="00755FD5" w:rsidP="00755FD5">
            <w:r>
              <w:t xml:space="preserve">The house at 131 Moreland Road, Coburg (otherwise known as ‘Roslyn’) is significant. The form of the Victorian Boom-era dwelling is significant, along with key decorative features including the </w:t>
            </w:r>
            <w:r w:rsidRPr="00E37634">
              <w:t>polychrome brickwork, slate roofing and elaborate cast iron lacework</w:t>
            </w:r>
            <w:r>
              <w:t xml:space="preserve"> on a pediment. The front fence is not original but is contributory to the setting of the house. The rear extensions are not significant.</w:t>
            </w:r>
          </w:p>
          <w:p w14:paraId="62B7B550" w14:textId="77777777" w:rsidR="00755FD5" w:rsidRDefault="00755FD5" w:rsidP="00755FD5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3CB3B08E" w14:textId="77777777" w:rsidR="00755FD5" w:rsidRPr="00D23116" w:rsidRDefault="00755FD5" w:rsidP="00755FD5">
            <w:r w:rsidRPr="00E37634">
              <w:rPr>
                <w:i/>
              </w:rPr>
              <w:t>Roslyn</w:t>
            </w:r>
            <w:r>
              <w:t xml:space="preserve"> is of local aesthetic significance to the City of Moreland.</w:t>
            </w:r>
          </w:p>
          <w:p w14:paraId="5489000A" w14:textId="77777777" w:rsidR="00755FD5" w:rsidRDefault="00755FD5" w:rsidP="00755FD5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432746D3" w14:textId="26D37246" w:rsidR="004D38C2" w:rsidRPr="0007678A" w:rsidRDefault="00755FD5" w:rsidP="00755FD5">
            <w:pPr>
              <w:rPr>
                <w:i/>
              </w:rPr>
            </w:pPr>
            <w:r w:rsidRPr="00E37634">
              <w:rPr>
                <w:i/>
              </w:rPr>
              <w:t>Roslyn</w:t>
            </w:r>
            <w:r>
              <w:t xml:space="preserve"> has aesthetic significance as a late Victorian residence with Boom style influences which presents well to the street as a highly intact and visually prominent historic dwelling. It displays high-quality polychrome brickwork, slate roofing and elaborate cast iron lacework surrounding a pediment.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69FA7" w14:textId="77777777" w:rsidR="00943582" w:rsidRPr="000D4EDE" w:rsidRDefault="00943582" w:rsidP="000D4EDE">
      <w:r>
        <w:separator/>
      </w:r>
    </w:p>
  </w:endnote>
  <w:endnote w:type="continuationSeparator" w:id="0">
    <w:p w14:paraId="2EE527A6" w14:textId="77777777" w:rsidR="00943582" w:rsidRPr="000D4EDE" w:rsidRDefault="00943582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FC481" w14:textId="77777777" w:rsidR="00943582" w:rsidRPr="000D4EDE" w:rsidRDefault="00943582" w:rsidP="000D4EDE">
      <w:r>
        <w:separator/>
      </w:r>
    </w:p>
  </w:footnote>
  <w:footnote w:type="continuationSeparator" w:id="0">
    <w:p w14:paraId="7BAFF440" w14:textId="77777777" w:rsidR="00943582" w:rsidRPr="000D4EDE" w:rsidRDefault="00943582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3582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F9BDE-5CE2-4BED-8965-61EEBC13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2021-03-01T01:33:00Z</dcterms:created>
  <dcterms:modified xsi:type="dcterms:W3CDTF">2021-03-01T01:33:00Z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